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Głównym celem projektu</w:t>
      </w:r>
      <w:r w:rsidRPr="00E74A5F">
        <w:rPr>
          <w:rFonts w:asciiTheme="majorHAnsi" w:hAnsiTheme="majorHAnsi" w:cstheme="majorHAnsi"/>
          <w:b/>
          <w:sz w:val="24"/>
          <w:szCs w:val="24"/>
        </w:rPr>
        <w:t xml:space="preserve"> FEPK.07.13-IP.01-0005/23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b/>
          <w:sz w:val="24"/>
          <w:szCs w:val="24"/>
        </w:rPr>
        <w:t xml:space="preserve">„Kwalifikacje zawodowe drogą do sukcesu” </w:t>
      </w:r>
      <w:r w:rsidRPr="00E74A5F">
        <w:rPr>
          <w:rFonts w:asciiTheme="majorHAnsi" w:hAnsiTheme="majorHAnsi" w:cstheme="majorHAnsi"/>
          <w:sz w:val="24"/>
          <w:szCs w:val="24"/>
        </w:rPr>
        <w:t xml:space="preserve">był  rozwój umiejętności zawodowych </w:t>
      </w:r>
      <w:r w:rsidRPr="00E74A5F">
        <w:rPr>
          <w:rFonts w:asciiTheme="majorHAnsi" w:hAnsiTheme="majorHAnsi" w:cstheme="majorHAnsi"/>
          <w:b/>
          <w:sz w:val="24"/>
          <w:szCs w:val="24"/>
        </w:rPr>
        <w:t>1</w:t>
      </w:r>
      <w:r>
        <w:rPr>
          <w:rFonts w:asciiTheme="majorHAnsi" w:hAnsiTheme="majorHAnsi" w:cstheme="majorHAnsi"/>
          <w:b/>
          <w:sz w:val="24"/>
          <w:szCs w:val="24"/>
        </w:rPr>
        <w:t>04</w:t>
      </w:r>
      <w:r>
        <w:rPr>
          <w:rFonts w:asciiTheme="majorHAnsi" w:hAnsiTheme="majorHAnsi" w:cstheme="majorHAnsi"/>
          <w:sz w:val="24"/>
          <w:szCs w:val="24"/>
        </w:rPr>
        <w:t xml:space="preserve"> uczniów oraz </w:t>
      </w:r>
      <w:r>
        <w:rPr>
          <w:rFonts w:asciiTheme="majorHAnsi" w:hAnsiTheme="majorHAnsi" w:cstheme="majorHAnsi"/>
          <w:b/>
          <w:sz w:val="24"/>
          <w:szCs w:val="24"/>
        </w:rPr>
        <w:t>50</w:t>
      </w:r>
      <w:r w:rsidRPr="00E74A5F">
        <w:rPr>
          <w:rFonts w:asciiTheme="majorHAnsi" w:hAnsiTheme="majorHAnsi" w:cstheme="majorHAnsi"/>
          <w:sz w:val="24"/>
          <w:szCs w:val="24"/>
        </w:rPr>
        <w:t xml:space="preserve"> nauczycieli a także poprawa jakości nauczania w Zespole </w:t>
      </w:r>
      <w:r>
        <w:rPr>
          <w:rFonts w:asciiTheme="majorHAnsi" w:hAnsiTheme="majorHAnsi" w:cstheme="majorHAnsi"/>
          <w:sz w:val="24"/>
          <w:szCs w:val="24"/>
        </w:rPr>
        <w:t xml:space="preserve">Szkół Samochodowych w Rzeszowie </w:t>
      </w:r>
      <w:r w:rsidRPr="00E74A5F">
        <w:rPr>
          <w:rFonts w:asciiTheme="majorHAnsi" w:hAnsiTheme="majorHAnsi" w:cstheme="majorHAnsi"/>
          <w:sz w:val="24"/>
          <w:szCs w:val="24"/>
        </w:rPr>
        <w:t xml:space="preserve"> do 31.08.2026r.</w:t>
      </w: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b/>
          <w:sz w:val="24"/>
          <w:szCs w:val="24"/>
        </w:rPr>
        <w:t>Cele szczegółowe</w:t>
      </w:r>
      <w:r w:rsidRPr="00E74A5F">
        <w:rPr>
          <w:rFonts w:asciiTheme="majorHAnsi" w:hAnsiTheme="majorHAnsi" w:cstheme="majorHAnsi"/>
          <w:sz w:val="24"/>
          <w:szCs w:val="24"/>
        </w:rPr>
        <w:t>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 zdobycie kwalifikacji i kompetencji zawodowych przez 104 uczniów do 31.08.2026r.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 zdobycie doświadczenia zawodowego poprzez udział w stażach zawodowych przez 104 uczniów do 31.08.2026r.,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 wzrost jakości nauczania w szkole poprzez nabycie kompet</w:t>
      </w:r>
      <w:r>
        <w:rPr>
          <w:rFonts w:asciiTheme="majorHAnsi" w:hAnsiTheme="majorHAnsi" w:cstheme="majorHAnsi"/>
          <w:sz w:val="24"/>
          <w:szCs w:val="24"/>
        </w:rPr>
        <w:t>encji przez 50</w:t>
      </w:r>
      <w:r w:rsidRPr="00E74A5F">
        <w:rPr>
          <w:rFonts w:asciiTheme="majorHAnsi" w:hAnsiTheme="majorHAnsi" w:cstheme="majorHAnsi"/>
          <w:sz w:val="24"/>
          <w:szCs w:val="24"/>
        </w:rPr>
        <w:t xml:space="preserve"> nauczycieli oraz doposażenie pracowni w niezbędne wyposażenie dydaktyczne.</w:t>
      </w: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b/>
          <w:sz w:val="24"/>
          <w:szCs w:val="24"/>
        </w:rPr>
        <w:t>Wskaźniki rezultatu</w:t>
      </w:r>
      <w:r w:rsidRPr="00E74A5F">
        <w:rPr>
          <w:rFonts w:asciiTheme="majorHAnsi" w:hAnsiTheme="majorHAnsi" w:cstheme="majorHAnsi"/>
          <w:sz w:val="24"/>
          <w:szCs w:val="24"/>
        </w:rPr>
        <w:t>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E74A5F">
        <w:rPr>
          <w:rFonts w:asciiTheme="majorHAnsi" w:hAnsiTheme="majorHAnsi" w:cstheme="majorHAnsi"/>
          <w:b/>
          <w:color w:val="000000"/>
          <w:sz w:val="24"/>
          <w:szCs w:val="24"/>
        </w:rPr>
        <w:t>Liczba szkół i placówek systemu oświaty objętych wsparciem</w:t>
      </w:r>
      <w:r>
        <w:rPr>
          <w:rFonts w:asciiTheme="majorHAnsi" w:hAnsiTheme="majorHAnsi" w:cstheme="majorHAnsi"/>
          <w:color w:val="000000"/>
          <w:sz w:val="24"/>
          <w:szCs w:val="24"/>
        </w:rPr>
        <w:t>:</w:t>
      </w:r>
      <w:r w:rsidRPr="00E74A5F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Wartość docelowa 2, stopień realizacji 100%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74A5F">
        <w:rPr>
          <w:rFonts w:asciiTheme="majorHAnsi" w:hAnsiTheme="majorHAnsi" w:cstheme="majorHAnsi"/>
          <w:b/>
          <w:sz w:val="24"/>
          <w:szCs w:val="24"/>
        </w:rPr>
        <w:t>Liczba uczniów i słuchaczy szkół i placówek kształcenia zawodowego</w:t>
      </w:r>
      <w:r>
        <w:rPr>
          <w:rFonts w:asciiTheme="majorHAnsi" w:hAnsiTheme="majorHAnsi" w:cstheme="majorHAnsi"/>
          <w:b/>
          <w:sz w:val="24"/>
          <w:szCs w:val="24"/>
        </w:rPr>
        <w:t xml:space="preserve"> objętych wsparciem</w:t>
      </w:r>
      <w:r w:rsidRPr="00E74A5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74A5F">
        <w:rPr>
          <w:rFonts w:asciiTheme="majorHAnsi" w:hAnsiTheme="majorHAnsi" w:cstheme="majorHAnsi"/>
          <w:sz w:val="24"/>
          <w:szCs w:val="24"/>
        </w:rPr>
        <w:t>Stopień realizacji 102,88%.</w:t>
      </w:r>
      <w:r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74A5F">
        <w:rPr>
          <w:rFonts w:asciiTheme="majorHAnsi" w:hAnsiTheme="majorHAnsi" w:cstheme="majorHAnsi"/>
          <w:sz w:val="24"/>
          <w:szCs w:val="24"/>
        </w:rPr>
        <w:t>(4 uczniów ze Szkoły Branżowej I Stopnia, 102 uczniów z technikum</w:t>
      </w:r>
      <w:r>
        <w:rPr>
          <w:rFonts w:asciiTheme="majorHAnsi" w:hAnsiTheme="majorHAnsi" w:cstheme="majorHAnsi"/>
          <w:sz w:val="24"/>
          <w:szCs w:val="24"/>
        </w:rPr>
        <w:t xml:space="preserve"> w tym 104 mężczyzn i 2 kobiety</w:t>
      </w:r>
      <w:r w:rsidRPr="00E74A5F">
        <w:rPr>
          <w:rFonts w:asciiTheme="majorHAnsi" w:hAnsiTheme="majorHAnsi" w:cstheme="majorHAnsi"/>
          <w:sz w:val="24"/>
          <w:szCs w:val="24"/>
        </w:rPr>
        <w:t>)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E74A5F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Liczba uczniów uczestniczących w doradztwie zawodowym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W</w:t>
      </w:r>
      <w:r w:rsidRPr="00E74A5F">
        <w:rPr>
          <w:rFonts w:asciiTheme="majorHAnsi" w:hAnsiTheme="majorHAnsi" w:cstheme="majorHAnsi"/>
          <w:color w:val="000000"/>
          <w:sz w:val="24"/>
          <w:szCs w:val="24"/>
        </w:rPr>
        <w:t xml:space="preserve">artość docelowa 104, stopień realizacji  </w:t>
      </w:r>
      <w:r w:rsidRPr="00E74A5F">
        <w:rPr>
          <w:rFonts w:asciiTheme="majorHAnsi" w:hAnsiTheme="majorHAnsi" w:cstheme="majorHAnsi"/>
          <w:sz w:val="24"/>
          <w:szCs w:val="24"/>
        </w:rPr>
        <w:t xml:space="preserve">101,92%, mężczyzn 104 i 2 kobiety.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Doradztwem zawodowym było  objętych 106 uczniów,  średnio 3 h/os. Głównym celem doradztwa było  podniesienie kompetencji z aktywnego poruszania się po rynku pracy. Tematyka doradztwa  obejmowała m.in. analizę rynku pracy, autoprezentację, dokumenty rekrutacyjne, udzielanie informacji indywidualnej o zawodach, rynku pracy oraz możliwościach szkolenia i kształcenia a także wymaganiach stawianych przez pracodawców. Doradztwo było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prowadzone z uwzględnieniem perspektywy płci w wyborze zawodu, przeciwdziałania stereotypom, związanym z płcią a także będzie wspierało przełamywanie tych stereotypów i wspierania promocji kierunków STEM. Doradztwo  prowadzone było  przez doświadczonego  doradcę zawodowego i było   realizowane na terenie szkoły przed/po godzinach zajęć uczniów.</w:t>
      </w:r>
    </w:p>
    <w:p w:rsid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</w:p>
    <w:p w:rsid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 w:rsidRPr="00E74A5F">
        <w:rPr>
          <w:rFonts w:asciiTheme="majorHAnsi" w:hAnsiTheme="majorHAnsi" w:cstheme="majorHAnsi"/>
          <w:b/>
        </w:rPr>
        <w:t xml:space="preserve">Liczba uczniów, którzy nabyli kwalifikacje po opuszczeniu programu </w:t>
      </w:r>
    </w:p>
    <w:p w:rsidR="00E74A5F" w:rsidRPr="00E74A5F" w:rsidRDefault="00E74A5F" w:rsidP="00E74A5F">
      <w:pPr>
        <w:pStyle w:val="Default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Wartość docelowa 94.</w:t>
      </w:r>
      <w:r w:rsidRPr="00E74A5F">
        <w:rPr>
          <w:rFonts w:asciiTheme="majorHAnsi" w:hAnsiTheme="majorHAnsi" w:cstheme="majorHAnsi"/>
        </w:rPr>
        <w:t xml:space="preserve"> </w:t>
      </w:r>
      <w:r w:rsidRPr="00E74A5F">
        <w:rPr>
          <w:rFonts w:asciiTheme="majorHAnsi" w:hAnsiTheme="majorHAnsi" w:cstheme="majorHAnsi"/>
          <w:bCs/>
        </w:rPr>
        <w:t>Wartość osiągnięta od początku realizacji projektu 102,13%</w:t>
      </w:r>
      <w:r>
        <w:rPr>
          <w:rFonts w:asciiTheme="majorHAnsi" w:hAnsiTheme="majorHAnsi" w:cstheme="majorHAnsi"/>
          <w:bCs/>
        </w:rPr>
        <w:t xml:space="preserve">, tj.: </w:t>
      </w:r>
      <w:r w:rsidRPr="00E74A5F">
        <w:rPr>
          <w:rFonts w:asciiTheme="majorHAnsi" w:hAnsiTheme="majorHAnsi" w:cstheme="majorHAnsi"/>
          <w:bCs/>
        </w:rPr>
        <w:t xml:space="preserve">96 </w:t>
      </w:r>
      <w:r>
        <w:rPr>
          <w:rFonts w:asciiTheme="majorHAnsi" w:hAnsiTheme="majorHAnsi" w:cstheme="majorHAnsi"/>
          <w:bCs/>
        </w:rPr>
        <w:t>mężczyzn i 2 kobiety.</w:t>
      </w:r>
    </w:p>
    <w:p w:rsidR="00E74A5F" w:rsidRP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 w:rsidRPr="00E74A5F">
        <w:rPr>
          <w:rFonts w:asciiTheme="majorHAnsi" w:hAnsiTheme="majorHAnsi" w:cstheme="majorHAnsi"/>
        </w:rPr>
        <w:t>Program szkoleń kwalifikacyjnych (kończących się egzaminem zewnętrznym i uzyskaniem  kwalifikacji)  obejmował: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a) Spawanie spoinami pachwinowymi blach i rur metodą MAG-135 – 132h zajęć, 21 os. Tematyka: złącza spawane blach, Skurcz, naprężenia i odkształcenia</w:t>
      </w:r>
      <w:r>
        <w:rPr>
          <w:rFonts w:asciiTheme="majorHAnsi" w:hAnsiTheme="majorHAnsi" w:cstheme="majorHAnsi"/>
          <w:sz w:val="24"/>
          <w:szCs w:val="24"/>
        </w:rPr>
        <w:t xml:space="preserve">, przeglądów procesów spawania, </w:t>
      </w:r>
      <w:r w:rsidRPr="00E74A5F">
        <w:rPr>
          <w:rFonts w:asciiTheme="majorHAnsi" w:hAnsiTheme="majorHAnsi" w:cstheme="majorHAnsi"/>
          <w:sz w:val="24"/>
          <w:szCs w:val="24"/>
        </w:rPr>
        <w:t>niezgodności spawalnicze, zajęcia praktyczne. Egzamin zewnętrzny przez Komisją Instytutu Spawalnictwa w Gliwicach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b) Kurs operatora koparko-ładowarki – 134h zajęć, 14 osób. Tematyka: użytkowanie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eksploatacyjne, układy napędowe, budowa maszyn, technologia robót, zajęcia praktyczne. Egzamin zewnętrzny przez Komisją Instytutu Budownictwa i Górnictwa Skalnego.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lastRenderedPageBreak/>
        <w:t>c) Kurs obsługi wózka widłowego z egzaminem UDT. Wymiar godzinowy – 67h, 25 os. Tematyka m.in.: rodzaje i budowa urządzeń, czynności operatora przed i po pracy, zasady eksploatacji, wymiana butli, bezpieczeństwo.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d) „Eksploatacja urządzeń elektroenergetycznych do 1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kV</w:t>
      </w:r>
      <w:proofErr w:type="spellEnd"/>
      <w:r w:rsidRPr="00E74A5F">
        <w:rPr>
          <w:rFonts w:asciiTheme="majorHAnsi" w:hAnsiTheme="majorHAnsi" w:cstheme="majorHAnsi"/>
          <w:sz w:val="24"/>
          <w:szCs w:val="24"/>
        </w:rPr>
        <w:t xml:space="preserve"> z egzaminem zewnętrznym –16h zajęć, 20 os. Tematyka, m.in.: zasady budowy i eksploatacji urządzeń i sieci, bezpieczeństwo, prace kontrolno-pomiarowe.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e)Kwalifikacja wstępna na przewóz rzeczy z egzaminem państwowym – 10 os. -260h zajęć teoretycznych (tematyka: m.in. umiejętności załadowania pojazdu zgodnie z wymaganiami przepisów BHP i zasadami prawidłowego użytkowania pojazdu, stosowanie przepisów, uwarunkowania społeczne dotyczące transportu drogowego i rządzące nim zasady, przepisy obowiązujące w transporcie drogowym, poznanie przepisów regulujących przewóz towarów , uświadomienie kierowcom zagrożenia wypadkami na drodze i w pracy) i 20h praktycznych.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 w:rsidRPr="00E74A5F">
        <w:rPr>
          <w:rFonts w:asciiTheme="majorHAnsi" w:hAnsiTheme="majorHAnsi" w:cstheme="majorHAnsi"/>
          <w:b/>
        </w:rPr>
        <w:t xml:space="preserve">Liczba uczniów, którzy nabyli kompetencje  po opuszczeniu programu </w:t>
      </w:r>
      <w:r w:rsidRPr="00E74A5F">
        <w:rPr>
          <w:rFonts w:asciiTheme="majorHAnsi" w:hAnsiTheme="majorHAnsi" w:cstheme="majorHAnsi"/>
        </w:rPr>
        <w:t xml:space="preserve"> </w:t>
      </w:r>
    </w:p>
    <w:p w:rsidR="00E74A5F" w:rsidRPr="00E74A5F" w:rsidRDefault="00E74A5F" w:rsidP="00E74A5F">
      <w:pPr>
        <w:pStyle w:val="Default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W</w:t>
      </w:r>
      <w:r w:rsidRPr="00E74A5F">
        <w:rPr>
          <w:rFonts w:asciiTheme="majorHAnsi" w:hAnsiTheme="majorHAnsi" w:cstheme="majorHAnsi"/>
        </w:rPr>
        <w:t xml:space="preserve">artość docelowa 94, </w:t>
      </w:r>
      <w:r w:rsidRPr="00E74A5F">
        <w:rPr>
          <w:rFonts w:asciiTheme="majorHAnsi" w:hAnsiTheme="majorHAnsi" w:cstheme="majorHAnsi"/>
          <w:bCs/>
        </w:rPr>
        <w:t xml:space="preserve">Wartość osiągnięta od początku realizacji projektu 102,13%96 </w:t>
      </w:r>
      <w:r>
        <w:rPr>
          <w:rFonts w:asciiTheme="majorHAnsi" w:hAnsiTheme="majorHAnsi" w:cstheme="majorHAnsi"/>
          <w:bCs/>
        </w:rPr>
        <w:t>mężczyzn i 2 kobiety.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Program szkoleń kompetencyjnych</w:t>
      </w:r>
      <w:r>
        <w:rPr>
          <w:rFonts w:asciiTheme="majorHAnsi" w:hAnsiTheme="majorHAnsi" w:cstheme="majorHAnsi"/>
          <w:sz w:val="24"/>
          <w:szCs w:val="24"/>
        </w:rPr>
        <w:t xml:space="preserve"> obejmował </w:t>
      </w:r>
      <w:r w:rsidRPr="00E74A5F">
        <w:rPr>
          <w:rFonts w:asciiTheme="majorHAnsi" w:hAnsiTheme="majorHAnsi" w:cstheme="majorHAnsi"/>
          <w:b/>
          <w:sz w:val="24"/>
          <w:szCs w:val="24"/>
        </w:rPr>
        <w:t>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a) szkolenia z branżowego j. angielskiego- 5gr.x10os., 40h/gr. Szkolenia były prowadzone przez trenera z ponad  2 letnim doświadczeniem zawodowym. Po zakończeniu szkolenia uczestnicy zdawali do egzamin wewnętrzny.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b) szkolenia z przedsiębiorczości -4 gr.x10os., 30h/gr. Celem warsztatów było umożliwienie uczniom zdobywania wiedzy oraz umiejętności potrzebnych do zakładania i prowadzenia własnej firmy Tematyka szkoleń to m.in. : zakładanie firmy, księgowość w firmie, planowanie oferty handlowej, podstawy sporządzania biznes planu, źródła finansowania działalności, zarządzanie finansami. Trener posiadał  wieloletnie  doświadczenie zawodowe. Po zakończeniu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szkolenia uczestnicy podeszli do egzaminu wewnętrznego.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c) Kurs inżynierii odwrotnej z drukiem 3D, 3gr.x10os., 24h/gr. Tematyka szkoleń: budowa i zasady działania drukarki 3D, omawiane były rodzaje  materiałów, różnice  parametrów, zastosowanie, oprogramowanie tnące,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postprocessing</w:t>
      </w:r>
      <w:proofErr w:type="spellEnd"/>
      <w:r w:rsidRPr="00E74A5F">
        <w:rPr>
          <w:rFonts w:asciiTheme="majorHAnsi" w:hAnsiTheme="majorHAnsi" w:cstheme="majorHAnsi"/>
          <w:sz w:val="24"/>
          <w:szCs w:val="24"/>
        </w:rPr>
        <w:t>, problemy z drukarkami, przetwarzanie danych i ich parametryzowanie. Po zakończeniu szkolenia uczestnicy posiadają  kompetencje z zakresu obsługi i konserwacji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drukarki 3D oraz przygotowania modelu 3D do wydruku.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d) Diagnostyka, kodowanie, programowanie–25os., 16h/gr. Tematyka szkoleń m.in.: omówienie programów służących do diagnozy, instalacje wybranych pakietów, interfejsy diagnostyczne, wady i zalety, instrukcje kodowania, aktualizacja sterowników w trybie normalnym i w wymuszonym, uczniowie realizowali zajęcia praktyczne.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e) Pojazdy hybrydowe i elektryczne–serwisowanie i diagnostyka–10os.x3gr., 24h/gr. Tematyka: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analiza i symulacja usterek w pojazdach hybrydowych i elektrycznych.  Uczniowie wykonywali ćwiczenia praktyczne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f)Auto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detailing</w:t>
      </w:r>
      <w:proofErr w:type="spellEnd"/>
      <w:r w:rsidRPr="00E74A5F">
        <w:rPr>
          <w:rFonts w:asciiTheme="majorHAnsi" w:hAnsiTheme="majorHAnsi" w:cstheme="majorHAnsi"/>
          <w:sz w:val="24"/>
          <w:szCs w:val="24"/>
        </w:rPr>
        <w:t xml:space="preserve"> z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tuningiem</w:t>
      </w:r>
      <w:proofErr w:type="spellEnd"/>
      <w:r w:rsidRPr="00E74A5F">
        <w:rPr>
          <w:rFonts w:asciiTheme="majorHAnsi" w:hAnsiTheme="majorHAnsi" w:cstheme="majorHAnsi"/>
          <w:sz w:val="24"/>
          <w:szCs w:val="24"/>
        </w:rPr>
        <w:t xml:space="preserve">–32h/gr, 10os.x5gr. Tematyka szkoleń: wprowadzenie do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autodetailingu</w:t>
      </w:r>
      <w:proofErr w:type="spellEnd"/>
      <w:r w:rsidRPr="00E74A5F">
        <w:rPr>
          <w:rFonts w:asciiTheme="majorHAnsi" w:hAnsiTheme="majorHAnsi" w:cstheme="majorHAnsi"/>
          <w:sz w:val="24"/>
          <w:szCs w:val="24"/>
        </w:rPr>
        <w:t xml:space="preserve">, rodzaje chemii w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autodetailingu</w:t>
      </w:r>
      <w:proofErr w:type="spellEnd"/>
      <w:r w:rsidRPr="00E74A5F">
        <w:rPr>
          <w:rFonts w:asciiTheme="majorHAnsi" w:hAnsiTheme="majorHAnsi" w:cstheme="majorHAnsi"/>
          <w:sz w:val="24"/>
          <w:szCs w:val="24"/>
        </w:rPr>
        <w:t xml:space="preserve">, techniki bezpiecznego mycia, dekontaminacja lakieru, przygotowanie lakieru pod korektę. Uczniowie  mieli zajęcia praktyczne, wprowadzenie do </w:t>
      </w:r>
      <w:proofErr w:type="spellStart"/>
      <w:r w:rsidRPr="00E74A5F">
        <w:rPr>
          <w:rFonts w:asciiTheme="majorHAnsi" w:hAnsiTheme="majorHAnsi" w:cstheme="majorHAnsi"/>
          <w:sz w:val="24"/>
          <w:szCs w:val="24"/>
        </w:rPr>
        <w:t>tuningu</w:t>
      </w:r>
      <w:proofErr w:type="spellEnd"/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g) Technologia napraw blacharskich–32os, 40h/gr. Tematyka szkoleń: rodzaje i właściwości materiałów, techniki kształtowania blach, techniki napraw nadwozia, zajęcia praktyczne.</w:t>
      </w: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lastRenderedPageBreak/>
        <w:t xml:space="preserve">h)Kursy diagnostyki silników O ZI - 3gr. x 10os., 24h/gr. Tematyka szkoleń: interfejs diagnostyczny i jego funkcje, usterki i ich naprawa, instrukcje kodowania, aktualizacja sterowników. Uczniowie uczestniczyli w ćwiczeniach praktycznych.  </w:t>
      </w:r>
    </w:p>
    <w:p w:rsidR="00246BF4" w:rsidRPr="00E74A5F" w:rsidRDefault="00246BF4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:rsidR="00E74A5F" w:rsidRDefault="00246BF4" w:rsidP="00E74A5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46BF4">
        <w:rPr>
          <w:sz w:val="24"/>
          <w:szCs w:val="24"/>
        </w:rPr>
        <w:t xml:space="preserve">Powyższe szkolenia realizowane </w:t>
      </w:r>
      <w:r>
        <w:rPr>
          <w:sz w:val="24"/>
          <w:szCs w:val="24"/>
        </w:rPr>
        <w:t xml:space="preserve">były </w:t>
      </w:r>
      <w:r w:rsidRPr="00246BF4">
        <w:rPr>
          <w:sz w:val="24"/>
          <w:szCs w:val="24"/>
        </w:rPr>
        <w:t xml:space="preserve">zgodnie z zasadą równości płci praz niedyskryminacji z zastosowaniem języka równościowego , z zachowaniem zasad DNSH zrównoważonego rozwoju ( materiały szkoleniowe, przerwa kawowa, catering, ) </w:t>
      </w:r>
      <w:r>
        <w:rPr>
          <w:sz w:val="24"/>
          <w:szCs w:val="24"/>
        </w:rPr>
        <w:t xml:space="preserve">oraz </w:t>
      </w:r>
      <w:r w:rsidRPr="00246BF4">
        <w:rPr>
          <w:sz w:val="24"/>
          <w:szCs w:val="24"/>
        </w:rPr>
        <w:t>przy zachowaniu standardów dostępności dla polityki spójności 2021-2027. Każdorazowo przed rozpoczęciem grupy szkoleniowej dodatkowo pozyskiwana informacja dotycząca ewentualnych specjalnych potrzeb uczniów biorących udział w szkoleniu np. dostosowanie cateringu do diety zdrowotnej ucznia.</w:t>
      </w:r>
    </w:p>
    <w:p w:rsidR="00246BF4" w:rsidRPr="00246BF4" w:rsidRDefault="00246BF4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 w:rsidRPr="00E74A5F">
        <w:rPr>
          <w:rFonts w:asciiTheme="majorHAnsi" w:hAnsiTheme="majorHAnsi" w:cstheme="majorHAnsi"/>
          <w:b/>
        </w:rPr>
        <w:t>Liczba uczniów szkół i placówek kształcenia zawodowego uczestniczących w stażach uczniowskich</w:t>
      </w:r>
      <w:r w:rsidRPr="00E74A5F">
        <w:rPr>
          <w:rFonts w:asciiTheme="majorHAnsi" w:hAnsiTheme="majorHAnsi" w:cstheme="majorHAnsi"/>
        </w:rPr>
        <w:t xml:space="preserve"> </w:t>
      </w:r>
    </w:p>
    <w:p w:rsidR="00E74A5F" w:rsidRP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</w:t>
      </w:r>
      <w:r w:rsidRPr="00E74A5F">
        <w:rPr>
          <w:rFonts w:asciiTheme="majorHAnsi" w:hAnsiTheme="majorHAnsi" w:cstheme="majorHAnsi"/>
        </w:rPr>
        <w:t xml:space="preserve">artość docelowa 104, stopień realizacji 100,96% tj:105 mężczyzn i 2 kobiety. Liczba zrealizowanych godzin stażu uczniowskiego </w:t>
      </w:r>
      <w:r w:rsidRPr="00E74A5F">
        <w:rPr>
          <w:rFonts w:asciiTheme="majorHAnsi" w:hAnsiTheme="majorHAnsi" w:cstheme="majorHAnsi"/>
          <w:b/>
        </w:rPr>
        <w:t>12 480</w:t>
      </w:r>
      <w:r w:rsidRPr="00E74A5F">
        <w:rPr>
          <w:rFonts w:asciiTheme="majorHAnsi" w:hAnsiTheme="majorHAnsi" w:cstheme="majorHAnsi"/>
        </w:rPr>
        <w:t xml:space="preserve"> – stopień realizacji 100%.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Staże uczniowskie realizowane były  w rzeczywistych warunkach pracy . W stażach uczniowskich  brali udział Uczniowie Technikum i Szko</w:t>
      </w:r>
      <w:r>
        <w:rPr>
          <w:rFonts w:asciiTheme="majorHAnsi" w:hAnsiTheme="majorHAnsi" w:cstheme="majorHAnsi"/>
          <w:sz w:val="24"/>
          <w:szCs w:val="24"/>
        </w:rPr>
        <w:t xml:space="preserve">ły branżowej I stopnia. Staże  </w:t>
      </w:r>
      <w:r w:rsidRPr="00E74A5F">
        <w:rPr>
          <w:rFonts w:asciiTheme="majorHAnsi" w:hAnsiTheme="majorHAnsi" w:cstheme="majorHAnsi"/>
          <w:sz w:val="24"/>
          <w:szCs w:val="24"/>
        </w:rPr>
        <w:t>realizowane były  na podstawie programu stażu  opracowanego przez wnioskodawcę w porozumieniu z pracodawcą. Podczas stażu każdy u</w:t>
      </w:r>
      <w:r>
        <w:rPr>
          <w:rFonts w:asciiTheme="majorHAnsi" w:hAnsiTheme="majorHAnsi" w:cstheme="majorHAnsi"/>
          <w:sz w:val="24"/>
          <w:szCs w:val="24"/>
        </w:rPr>
        <w:t xml:space="preserve">czestnik  </w:t>
      </w:r>
      <w:r w:rsidRPr="00E74A5F">
        <w:rPr>
          <w:rFonts w:asciiTheme="majorHAnsi" w:hAnsiTheme="majorHAnsi" w:cstheme="majorHAnsi"/>
          <w:sz w:val="24"/>
          <w:szCs w:val="24"/>
        </w:rPr>
        <w:t>miał zapewnione odpowiednie stanowisko pracy wyposażone w niezbędne sprzęty, narzędzia i zaplecze, udostępnione warsztaty, pomieszczenia, zaplecze techniczne. Każdy uczestnik został przeszkolony w zakresie BHP, przepisów przeciwpożarowych oraz zapoznany z obowiązującym regulaminem pracy na danym stanowisku. Każdy ze stażystów miał  opiekuna stażu sprawującego nadzór na stażem m.in. monitorujący postępy w nabywaniu nowych umiejętności przez stażystę, a także stopień realizacji treści i celów edukacyjnych..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Stażyście wypłacane było  świadczenie pieniężne w wysokości 80% minimalnej stawki godzinowej za pracę wraz ze zwrotem  kosztów za </w:t>
      </w:r>
      <w:r>
        <w:rPr>
          <w:rFonts w:asciiTheme="majorHAnsi" w:hAnsiTheme="majorHAnsi" w:cstheme="majorHAnsi"/>
          <w:sz w:val="24"/>
          <w:szCs w:val="24"/>
        </w:rPr>
        <w:t xml:space="preserve">wszystkie niezbędne </w:t>
      </w:r>
      <w:r w:rsidRPr="00E74A5F">
        <w:rPr>
          <w:rFonts w:asciiTheme="majorHAnsi" w:hAnsiTheme="majorHAnsi" w:cstheme="majorHAnsi"/>
          <w:sz w:val="24"/>
          <w:szCs w:val="24"/>
        </w:rPr>
        <w:t>wydatki związane z organizacją i prowadzeniem stażu uczniowskiego, tj. 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a) zakupu niezbędnych materiałów i narzędzi zużywalnych niezbędnych uczniowi do odbycia stażu uczniowskiego;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b) szkolenia BHP przed rozpoczęciem stażu uczniowskiego;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c) badań lekarskich przed rozpoczęciem stażu uczniowskiego (o ile są wymagane);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d) wynagrodzenia opiekuna stażysty podczas odbywania stażu uczniowskiego;</w:t>
      </w: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e) dojazdów do/z miejsca odbywania stażu uczniowskiego;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E74A5F">
        <w:rPr>
          <w:rFonts w:asciiTheme="majorHAnsi" w:hAnsiTheme="majorHAnsi" w:cstheme="majorHAnsi"/>
          <w:b/>
          <w:color w:val="000000"/>
          <w:sz w:val="24"/>
          <w:szCs w:val="24"/>
        </w:rPr>
        <w:t>Liczba osób z krajów trzecich i obcego pochodzenia objętych wsparciem w programie</w:t>
      </w: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W</w:t>
      </w:r>
      <w:r w:rsidRPr="00E74A5F">
        <w:rPr>
          <w:rFonts w:asciiTheme="majorHAnsi" w:hAnsiTheme="majorHAnsi" w:cstheme="majorHAnsi"/>
          <w:color w:val="000000"/>
          <w:sz w:val="24"/>
          <w:szCs w:val="24"/>
        </w:rPr>
        <w:t xml:space="preserve">artość docelowa 0, stopień realizacji 1.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E74A5F">
        <w:rPr>
          <w:rFonts w:asciiTheme="majorHAnsi" w:hAnsiTheme="majorHAnsi" w:cstheme="majorHAnsi"/>
          <w:b/>
          <w:color w:val="000000"/>
          <w:sz w:val="24"/>
          <w:szCs w:val="24"/>
        </w:rPr>
        <w:t>Liczba objętych wsparciem podmiotów administracji publicznej lub służb publicznych na szczeblu krajowym, regionalnym lub lokalnym</w:t>
      </w:r>
      <w:r w:rsidRPr="00E74A5F">
        <w:rPr>
          <w:rFonts w:asciiTheme="majorHAnsi" w:hAnsiTheme="majorHAnsi" w:cstheme="majorHAnsi"/>
          <w:color w:val="000000"/>
          <w:sz w:val="24"/>
          <w:szCs w:val="24"/>
        </w:rPr>
        <w:t xml:space="preserve"> ,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W</w:t>
      </w:r>
      <w:r w:rsidRPr="00E74A5F">
        <w:rPr>
          <w:rFonts w:asciiTheme="majorHAnsi" w:hAnsiTheme="majorHAnsi" w:cstheme="majorHAnsi"/>
          <w:color w:val="000000"/>
          <w:sz w:val="24"/>
          <w:szCs w:val="24"/>
        </w:rPr>
        <w:t xml:space="preserve">artość docelowa 2- stopień realizacji 100%.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 w:rsidRPr="00E74A5F">
        <w:rPr>
          <w:rFonts w:asciiTheme="majorHAnsi" w:hAnsiTheme="majorHAnsi" w:cstheme="majorHAnsi"/>
          <w:b/>
        </w:rPr>
        <w:t>Liczba przedstawicieli kadry szkół i placówek systemu oświaty, którzy uzyskali kwalifikacje po opuszczeniu programu</w:t>
      </w:r>
      <w:r>
        <w:rPr>
          <w:rFonts w:asciiTheme="majorHAnsi" w:hAnsiTheme="majorHAnsi" w:cstheme="majorHAnsi"/>
        </w:rPr>
        <w:t xml:space="preserve"> </w:t>
      </w:r>
    </w:p>
    <w:p w:rsidR="00E74A5F" w:rsidRPr="00E74A5F" w:rsidRDefault="00E74A5F" w:rsidP="00E74A5F">
      <w:pPr>
        <w:pStyle w:val="Defaul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</w:t>
      </w:r>
      <w:r w:rsidRPr="00E74A5F">
        <w:rPr>
          <w:rFonts w:asciiTheme="majorHAnsi" w:hAnsiTheme="majorHAnsi" w:cstheme="majorHAnsi"/>
        </w:rPr>
        <w:t xml:space="preserve">artość docelowa 50, stopień realizacji 98% </w:t>
      </w:r>
      <w:r>
        <w:rPr>
          <w:rFonts w:asciiTheme="majorHAnsi" w:hAnsiTheme="majorHAnsi" w:cstheme="majorHAnsi"/>
        </w:rPr>
        <w:t xml:space="preserve"> tj.: </w:t>
      </w:r>
      <w:r w:rsidRPr="00E74A5F">
        <w:rPr>
          <w:rFonts w:asciiTheme="majorHAnsi" w:hAnsiTheme="majorHAnsi" w:cstheme="majorHAnsi"/>
        </w:rPr>
        <w:t>29 kobiet i 20 mężczyzn</w:t>
      </w:r>
      <w:r>
        <w:rPr>
          <w:rFonts w:asciiTheme="majorHAnsi" w:hAnsiTheme="majorHAnsi" w:cstheme="majorHAnsi"/>
        </w:rPr>
        <w:t>.</w:t>
      </w:r>
      <w:r w:rsidRPr="00E74A5F">
        <w:rPr>
          <w:rFonts w:asciiTheme="majorHAnsi" w:hAnsiTheme="majorHAnsi" w:cstheme="majorHAnsi"/>
        </w:rPr>
        <w:t xml:space="preserve">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lastRenderedPageBreak/>
        <w:t>Zakres kształcenia był  zgodny z potrzebami szkoły oraz potrzebami nauczycieli w zakresie podnoszenia kwalifikac</w:t>
      </w:r>
      <w:r>
        <w:rPr>
          <w:rFonts w:asciiTheme="majorHAnsi" w:hAnsiTheme="majorHAnsi" w:cstheme="majorHAnsi"/>
          <w:sz w:val="24"/>
          <w:szCs w:val="24"/>
        </w:rPr>
        <w:t xml:space="preserve">ji zawodowych, a  celem poniższych </w:t>
      </w:r>
      <w:r w:rsidRPr="00E74A5F">
        <w:rPr>
          <w:rFonts w:asciiTheme="majorHAnsi" w:hAnsiTheme="majorHAnsi" w:cstheme="majorHAnsi"/>
          <w:sz w:val="24"/>
          <w:szCs w:val="24"/>
        </w:rPr>
        <w:t>szkoleń było nabycie kompetencji zawodowych i tym samym podniesienia jakości nauczania i były  to: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 xml:space="preserve">1. Kształcenie dzieci ze specjalnymi potrzebami edukacyjnymi – 8h/gr., 5gr.x średnio 10os., w szkoleniu wzięli prawie wszyscy nauczyciele ZSS – 49 os. Tematyka m.in.: diagnoza psychologiczna ucznia ze specjalnymi potrzebami edukacyjnymi, specyfika pracy nauczyciela prowadzącego zajęcia lekcyjne z uczniami ze specjalnymi potrzebami edukacyjnymi, metodyka prowadzenia zajęć rewalidacyjnych indywidualnych.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2. Obsługa, budowa i naprawa pojazdów o napędzie elektrycznym – 8os., 24 h zajęć. Tematyka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m.in.: budowa napędów pojazdów elektrycznych, usterki w pojazda</w:t>
      </w:r>
      <w:r>
        <w:rPr>
          <w:rFonts w:asciiTheme="majorHAnsi" w:hAnsiTheme="majorHAnsi" w:cstheme="majorHAnsi"/>
          <w:sz w:val="24"/>
          <w:szCs w:val="24"/>
        </w:rPr>
        <w:t>ch elektrycznych, serwisowanie. N</w:t>
      </w:r>
      <w:r w:rsidRPr="00E74A5F">
        <w:rPr>
          <w:rFonts w:asciiTheme="majorHAnsi" w:hAnsiTheme="majorHAnsi" w:cstheme="majorHAnsi"/>
          <w:sz w:val="24"/>
          <w:szCs w:val="24"/>
        </w:rPr>
        <w:t>auczyciele brali udział w zajęciach praktycznych.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W ramach dop</w:t>
      </w:r>
      <w:r>
        <w:rPr>
          <w:rFonts w:asciiTheme="majorHAnsi" w:hAnsiTheme="majorHAnsi" w:cstheme="majorHAnsi"/>
          <w:sz w:val="24"/>
          <w:szCs w:val="24"/>
        </w:rPr>
        <w:t>osażenia pracowni zakupiono min</w:t>
      </w:r>
      <w:r w:rsidRPr="00E74A5F">
        <w:rPr>
          <w:rFonts w:asciiTheme="majorHAnsi" w:hAnsiTheme="majorHAnsi" w:cstheme="majorHAnsi"/>
          <w:sz w:val="24"/>
          <w:szCs w:val="24"/>
        </w:rPr>
        <w:t>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1.Do pracowni PPKP: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-15szt. laptopów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-drukarki3D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-skanera3D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-15 myszek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-monitora multimedialnego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-dysku zew.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2.Do pracowni mechatroniki: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1.Stanowisko testowo</w:t>
      </w:r>
      <w:r w:rsidRPr="00E74A5F">
        <w:rPr>
          <w:rFonts w:asciiTheme="majorHAnsi" w:hAnsiTheme="majorHAnsi" w:cstheme="majorHAnsi"/>
          <w:sz w:val="24"/>
          <w:szCs w:val="24"/>
        </w:rPr>
        <w:t>-dydaktyczne „Diagnostyka i obsługa pojazdu elektr</w:t>
      </w:r>
      <w:r>
        <w:rPr>
          <w:rFonts w:asciiTheme="majorHAnsi" w:hAnsiTheme="majorHAnsi" w:cstheme="majorHAnsi"/>
          <w:sz w:val="24"/>
          <w:szCs w:val="24"/>
        </w:rPr>
        <w:t>ycznego</w:t>
      </w:r>
      <w:r w:rsidRPr="00E74A5F">
        <w:rPr>
          <w:rFonts w:asciiTheme="majorHAnsi" w:hAnsiTheme="majorHAnsi" w:cstheme="majorHAnsi"/>
          <w:sz w:val="24"/>
          <w:szCs w:val="24"/>
        </w:rPr>
        <w:t>.” wraz z modernizacją pracowni.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2.Zestaw narzędzi i ochrony osobistej do obsługi pojazdów elektr</w:t>
      </w:r>
      <w:r>
        <w:rPr>
          <w:rFonts w:asciiTheme="majorHAnsi" w:hAnsiTheme="majorHAnsi" w:cstheme="majorHAnsi"/>
          <w:sz w:val="24"/>
          <w:szCs w:val="24"/>
        </w:rPr>
        <w:t>ycznych</w:t>
      </w:r>
      <w:r w:rsidRPr="00E74A5F">
        <w:rPr>
          <w:rFonts w:asciiTheme="majorHAnsi" w:hAnsiTheme="majorHAnsi" w:cstheme="majorHAnsi"/>
          <w:sz w:val="24"/>
          <w:szCs w:val="24"/>
        </w:rPr>
        <w:t>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3.Zestaw narzędzi do obsługi pojazdów elektrycznych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4.Diagnoskop samochodów hybrydowych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5.Przenośny moduł diagnostyczny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6.Zestaw diagnostyczny samochodów elektr</w:t>
      </w:r>
      <w:r>
        <w:rPr>
          <w:rFonts w:asciiTheme="majorHAnsi" w:hAnsiTheme="majorHAnsi" w:cstheme="majorHAnsi"/>
          <w:sz w:val="24"/>
          <w:szCs w:val="24"/>
        </w:rPr>
        <w:t>ycznych</w:t>
      </w:r>
      <w:r w:rsidRPr="00E74A5F">
        <w:rPr>
          <w:rFonts w:asciiTheme="majorHAnsi" w:hAnsiTheme="majorHAnsi" w:cstheme="majorHAnsi"/>
          <w:sz w:val="24"/>
          <w:szCs w:val="24"/>
        </w:rPr>
        <w:t>.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7.Ładowarka akumulatorów</w:t>
      </w:r>
    </w:p>
    <w:p w:rsidR="00E74A5F" w:rsidRPr="00E74A5F" w:rsidRDefault="00246BF4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8.Laptop 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9. KTS 590</w:t>
      </w:r>
    </w:p>
    <w:p w:rsidR="00E74A5F" w:rsidRPr="00E74A5F" w:rsidRDefault="00E74A5F" w:rsidP="00E74A5F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74A5F">
        <w:rPr>
          <w:rFonts w:asciiTheme="majorHAnsi" w:hAnsiTheme="majorHAnsi" w:cstheme="majorHAnsi"/>
          <w:sz w:val="24"/>
          <w:szCs w:val="24"/>
        </w:rPr>
        <w:t>Wybór ww. sprzętu poprzedzony został samooceną wykonaną przez szkołę, jej kadrę i uczniów przy wykorzystaniu narzędzia SELFIE</w:t>
      </w:r>
      <w:r w:rsidR="00246BF4">
        <w:rPr>
          <w:rFonts w:asciiTheme="majorHAnsi" w:hAnsiTheme="majorHAnsi" w:cstheme="majorHAnsi"/>
          <w:sz w:val="24"/>
          <w:szCs w:val="24"/>
        </w:rPr>
        <w:t>,</w:t>
      </w:r>
      <w:r w:rsidRPr="00E74A5F">
        <w:rPr>
          <w:rFonts w:asciiTheme="majorHAnsi" w:hAnsiTheme="majorHAnsi" w:cstheme="majorHAnsi"/>
          <w:sz w:val="24"/>
          <w:szCs w:val="24"/>
        </w:rPr>
        <w:t xml:space="preserve"> a zakup powyższego wyposażenia odpowiada potrzebom wnioskodawcy oraz jest zgodny z podstawą programową kształcenia w zawodzie elektromechanik samochodowy (741203), technik pojazdów samochodowych (311513)</w:t>
      </w:r>
      <w:r w:rsidR="00246BF4">
        <w:rPr>
          <w:rFonts w:asciiTheme="majorHAnsi" w:hAnsiTheme="majorHAnsi" w:cstheme="majorHAnsi"/>
          <w:sz w:val="24"/>
          <w:szCs w:val="24"/>
        </w:rPr>
        <w:br/>
      </w:r>
      <w:r w:rsidRPr="00E74A5F">
        <w:rPr>
          <w:rFonts w:asciiTheme="majorHAnsi" w:hAnsiTheme="majorHAnsi" w:cstheme="majorHAnsi"/>
          <w:sz w:val="24"/>
          <w:szCs w:val="24"/>
        </w:rPr>
        <w:t>i technik mechatronik (311410).</w:t>
      </w:r>
    </w:p>
    <w:p w:rsidR="00325F16" w:rsidRPr="00E74A5F" w:rsidRDefault="00325F16" w:rsidP="00E74A5F">
      <w:pPr>
        <w:jc w:val="both"/>
        <w:rPr>
          <w:rFonts w:asciiTheme="majorHAnsi" w:hAnsiTheme="majorHAnsi" w:cstheme="majorHAnsi"/>
          <w:sz w:val="24"/>
          <w:szCs w:val="24"/>
        </w:rPr>
      </w:pPr>
    </w:p>
    <w:sectPr w:rsidR="00325F16" w:rsidRPr="00E74A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046" w:rsidRDefault="007E2046" w:rsidP="00E74A5F">
      <w:pPr>
        <w:spacing w:after="0" w:line="240" w:lineRule="auto"/>
      </w:pPr>
      <w:r>
        <w:separator/>
      </w:r>
    </w:p>
  </w:endnote>
  <w:endnote w:type="continuationSeparator" w:id="0">
    <w:p w:rsidR="007E2046" w:rsidRDefault="007E2046" w:rsidP="00E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046" w:rsidRDefault="007E2046" w:rsidP="00E74A5F">
      <w:pPr>
        <w:spacing w:after="0" w:line="240" w:lineRule="auto"/>
      </w:pPr>
      <w:r>
        <w:separator/>
      </w:r>
    </w:p>
  </w:footnote>
  <w:footnote w:type="continuationSeparator" w:id="0">
    <w:p w:rsidR="007E2046" w:rsidRDefault="007E2046" w:rsidP="00E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A5F" w:rsidRDefault="00E74A5F">
    <w:pPr>
      <w:pStyle w:val="Nagwek"/>
    </w:pPr>
    <w:r>
      <w:rPr>
        <w:noProof/>
      </w:rPr>
      <w:drawing>
        <wp:inline distT="0" distB="0" distL="0" distR="0" wp14:anchorId="5285175A" wp14:editId="56DDBB0D">
          <wp:extent cx="5760720" cy="436850"/>
          <wp:effectExtent l="0" t="0" r="0" b="1905"/>
          <wp:docPr id="2" name="Obraz 2" descr="C:\Users\Toshiba\Desktop\samochodowka\Droga do kariery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oshiba\Desktop\samochodowka\Droga do kariery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3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74A5F" w:rsidRDefault="00E74A5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5F"/>
    <w:rsid w:val="00246BF4"/>
    <w:rsid w:val="00325F16"/>
    <w:rsid w:val="007E2046"/>
    <w:rsid w:val="00E7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A2095-E2A2-44C4-AC3C-560A4501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4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74A5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74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A5F"/>
  </w:style>
  <w:style w:type="paragraph" w:styleId="Stopka">
    <w:name w:val="footer"/>
    <w:basedOn w:val="Normalny"/>
    <w:link w:val="StopkaZnak"/>
    <w:uiPriority w:val="99"/>
    <w:unhideWhenUsed/>
    <w:rsid w:val="00E74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1535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2026-11-03T21:57:00Z</dcterms:created>
  <dcterms:modified xsi:type="dcterms:W3CDTF">2026-11-03T22:19:00Z</dcterms:modified>
</cp:coreProperties>
</file>